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1,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3121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02.11.2020-15.11.2020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1"/>
        <w:gridCol w:w="183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11.11.2020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Индивидуальные,групповые и командные действия в защите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Индивидуальные,групповые и командные действия в защите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  <w:lang w:val="ru-RU" w:eastAsia="en-US"/>
              </w:rPr>
              <w:t xml:space="preserve">2. Посмотреть видео по ссылке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 https://resh.edu.ru/subject/lesson/4971/main/85911/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Задания.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Индивидуальные,групповые и командные действия в защите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</w:tc>
        <w:tc>
          <w:tcPr>
            <w:tcW w:w="18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11.11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Trio_Office/6.2.8.2$Windows_x86 LibreOffice_project/</Application>
  <Pages>1</Pages>
  <Words>121</Words>
  <Characters>921</Characters>
  <CharactersWithSpaces>1016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2020-10-29T17:11:40Z</dcterms:modified>
  <cp:revision>18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