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99" w:rsidRPr="00EC1596" w:rsidRDefault="00D2544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C1596">
        <w:rPr>
          <w:rFonts w:ascii="Times New Roman" w:hAnsi="Times New Roman" w:cs="Times New Roman"/>
          <w:b/>
          <w:sz w:val="36"/>
          <w:szCs w:val="36"/>
        </w:rPr>
        <w:t>Классы моторных масел по кинематической вязкости</w:t>
      </w:r>
    </w:p>
    <w:bookmarkEnd w:id="0"/>
    <w:p w:rsidR="00EC1596" w:rsidRPr="00EC1596" w:rsidRDefault="00EC1596">
      <w:pPr>
        <w:rPr>
          <w:rFonts w:ascii="Times New Roman" w:hAnsi="Times New Roman" w:cs="Times New Roman"/>
          <w:sz w:val="32"/>
          <w:szCs w:val="32"/>
        </w:rPr>
      </w:pPr>
      <w:r w:rsidRPr="00EC1596">
        <w:rPr>
          <w:rFonts w:ascii="Times New Roman" w:hAnsi="Times New Roman" w:cs="Times New Roman"/>
          <w:sz w:val="32"/>
          <w:szCs w:val="32"/>
        </w:rPr>
        <w:t>Согласно принятой классификации масел (ГОСТ 17479.1-85), всем моторным маслам присвоен индекс, и они разделены на классы и группы в зависимости от их вязкости (</w:t>
      </w:r>
      <w:proofErr w:type="spellStart"/>
      <w:proofErr w:type="gramStart"/>
      <w:r w:rsidRPr="00EC1596">
        <w:rPr>
          <w:rFonts w:ascii="Times New Roman" w:hAnsi="Times New Roman" w:cs="Times New Roman"/>
          <w:sz w:val="32"/>
          <w:szCs w:val="32"/>
        </w:rPr>
        <w:t>табл</w:t>
      </w:r>
      <w:proofErr w:type="spellEnd"/>
      <w:proofErr w:type="gramEnd"/>
      <w:r w:rsidRPr="00EC1596">
        <w:rPr>
          <w:rFonts w:ascii="Times New Roman" w:hAnsi="Times New Roman" w:cs="Times New Roman"/>
          <w:sz w:val="32"/>
          <w:szCs w:val="32"/>
        </w:rPr>
        <w:t xml:space="preserve"> 1) и эксплуатационных свойств.</w:t>
      </w:r>
    </w:p>
    <w:tbl>
      <w:tblPr>
        <w:tblStyle w:val="a3"/>
        <w:tblpPr w:leftFromText="180" w:rightFromText="180" w:vertAnchor="page" w:horzAnchor="margin" w:tblpY="466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C1596" w:rsidRPr="00EC1596" w:rsidTr="00EC1596">
        <w:tc>
          <w:tcPr>
            <w:tcW w:w="2392" w:type="dxa"/>
            <w:vMerge w:val="restart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786" w:type="dxa"/>
            <w:gridSpan w:val="2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b/>
                <w:sz w:val="32"/>
                <w:szCs w:val="32"/>
              </w:rPr>
              <w:t>Кинематическая вязкость при температуре, мм</w:t>
            </w:r>
            <w:proofErr w:type="gramStart"/>
            <w:r w:rsidRPr="00EC1596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  <w:proofErr w:type="gramEnd"/>
            <w:r w:rsidRPr="00EC1596">
              <w:rPr>
                <w:rFonts w:ascii="Times New Roman" w:hAnsi="Times New Roman" w:cs="Times New Roman"/>
                <w:b/>
                <w:sz w:val="32"/>
                <w:szCs w:val="32"/>
              </w:rPr>
              <w:t>/с</w:t>
            </w:r>
          </w:p>
        </w:tc>
      </w:tr>
      <w:tr w:rsidR="00EC1596" w:rsidRPr="00EC1596" w:rsidTr="00EC1596">
        <w:tc>
          <w:tcPr>
            <w:tcW w:w="2392" w:type="dxa"/>
            <w:vMerge/>
          </w:tcPr>
          <w:p w:rsidR="00EC1596" w:rsidRPr="00EC1596" w:rsidRDefault="00EC1596" w:rsidP="00EC15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 xml:space="preserve">100 </w:t>
            </w:r>
            <w:r w:rsidRPr="00EC1596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°C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 xml:space="preserve">-18 </w:t>
            </w:r>
            <w:r w:rsidRPr="00EC1596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°C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, не более</w:t>
            </w:r>
          </w:p>
        </w:tc>
      </w:tr>
      <w:tr w:rsidR="00EC1596" w:rsidRPr="00EC1596" w:rsidTr="00EC1596">
        <w:tc>
          <w:tcPr>
            <w:tcW w:w="7178" w:type="dxa"/>
            <w:gridSpan w:val="3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b/>
                <w:sz w:val="32"/>
                <w:szCs w:val="32"/>
              </w:rPr>
              <w:t>Зимние классы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3,8, не менее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1 250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4,1, не менее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2 600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5,6, не менее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6 000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3,8, не менее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10 400</w:t>
            </w:r>
          </w:p>
        </w:tc>
      </w:tr>
      <w:tr w:rsidR="00EC1596" w:rsidRPr="00EC1596" w:rsidTr="00EC1596">
        <w:tc>
          <w:tcPr>
            <w:tcW w:w="7178" w:type="dxa"/>
            <w:gridSpan w:val="3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b/>
                <w:sz w:val="32"/>
                <w:szCs w:val="32"/>
              </w:rPr>
              <w:t>Летние классы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5,6-7,0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7,0-9,5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9,5-11,5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11,5-13,0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13,0-15,5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15,0-18,0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18,0-22,0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C1596" w:rsidRPr="00EC1596" w:rsidTr="00EC1596">
        <w:tc>
          <w:tcPr>
            <w:tcW w:w="7178" w:type="dxa"/>
            <w:gridSpan w:val="3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b/>
                <w:sz w:val="32"/>
                <w:szCs w:val="32"/>
              </w:rPr>
              <w:t>Всесезонные классы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/8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7,0-9,5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1 250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5,6-7,0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2 600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/8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7,0-9,5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2 600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9,5-11,5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2 600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9,5-11,5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6 000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11,5-13,0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6 000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/14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13,0-15,0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6 000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9,5-11,5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10 400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/14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13,0-15,0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10 400</w:t>
            </w:r>
          </w:p>
        </w:tc>
      </w:tr>
      <w:tr w:rsidR="00EC1596" w:rsidRPr="00EC1596" w:rsidTr="00EC1596">
        <w:tc>
          <w:tcPr>
            <w:tcW w:w="2392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C159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/16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15,0-18,0</w:t>
            </w:r>
          </w:p>
        </w:tc>
        <w:tc>
          <w:tcPr>
            <w:tcW w:w="2393" w:type="dxa"/>
          </w:tcPr>
          <w:p w:rsidR="00EC1596" w:rsidRPr="00EC1596" w:rsidRDefault="00EC1596" w:rsidP="00EC1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596">
              <w:rPr>
                <w:rFonts w:ascii="Times New Roman" w:hAnsi="Times New Roman" w:cs="Times New Roman"/>
                <w:sz w:val="32"/>
                <w:szCs w:val="32"/>
              </w:rPr>
              <w:t>10 400</w:t>
            </w:r>
          </w:p>
        </w:tc>
      </w:tr>
    </w:tbl>
    <w:p w:rsidR="00EC1596" w:rsidRPr="00EC1596" w:rsidRDefault="00EC1596">
      <w:pPr>
        <w:rPr>
          <w:rFonts w:ascii="Times New Roman" w:hAnsi="Times New Roman" w:cs="Times New Roman"/>
          <w:b/>
          <w:sz w:val="36"/>
          <w:szCs w:val="36"/>
        </w:rPr>
      </w:pPr>
      <w:r w:rsidRPr="00EC1596">
        <w:rPr>
          <w:rFonts w:ascii="Times New Roman" w:hAnsi="Times New Roman" w:cs="Times New Roman"/>
          <w:b/>
          <w:sz w:val="36"/>
          <w:szCs w:val="36"/>
        </w:rPr>
        <w:t>Таблица 1.</w:t>
      </w:r>
    </w:p>
    <w:p w:rsidR="00D2544C" w:rsidRPr="00D2544C" w:rsidRDefault="00D2544C">
      <w:pPr>
        <w:rPr>
          <w:b/>
          <w:sz w:val="32"/>
          <w:szCs w:val="32"/>
        </w:rPr>
      </w:pPr>
    </w:p>
    <w:sectPr w:rsidR="00D2544C" w:rsidRPr="00D2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A6B"/>
    <w:rsid w:val="00023599"/>
    <w:rsid w:val="001D3A6B"/>
    <w:rsid w:val="00D2544C"/>
    <w:rsid w:val="00E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ррпн</dc:creator>
  <cp:keywords/>
  <dc:description/>
  <cp:lastModifiedBy>msi pc</cp:lastModifiedBy>
  <cp:revision>5</cp:revision>
  <dcterms:created xsi:type="dcterms:W3CDTF">2015-03-20T16:58:00Z</dcterms:created>
  <dcterms:modified xsi:type="dcterms:W3CDTF">2015-03-23T08:26:00Z</dcterms:modified>
</cp:coreProperties>
</file>